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2D" w:rsidRDefault="0095582D" w:rsidP="009558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5582D" w:rsidRPr="009E3B67" w:rsidRDefault="0095582D" w:rsidP="0095582D">
      <w:pPr>
        <w:tabs>
          <w:tab w:val="right" w:pos="9355"/>
        </w:tabs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95582D" w:rsidRPr="009E3B67" w:rsidRDefault="0095582D" w:rsidP="0095582D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3B67">
        <w:rPr>
          <w:rFonts w:ascii="Courier New" w:eastAsia="Times New Roman" w:hAnsi="Courier New" w:cs="Courier New"/>
          <w:b/>
          <w:color w:val="auto"/>
        </w:rPr>
        <w:tab/>
      </w:r>
      <w:r w:rsidR="009E3B67" w:rsidRPr="009E3B67">
        <w:rPr>
          <w:rFonts w:ascii="Times New Roman" w:eastAsia="Times New Roman" w:hAnsi="Times New Roman" w:cs="Times New Roman"/>
          <w:b/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59264;mso-position-horizontal-relative:text;mso-position-vertical-relative:text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95582D" w:rsidRPr="009E3B67" w:rsidRDefault="0095582D" w:rsidP="0095582D">
      <w:pPr>
        <w:tabs>
          <w:tab w:val="right" w:pos="9355"/>
        </w:tabs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95582D" w:rsidRPr="009E3B67" w:rsidRDefault="009E3B67" w:rsidP="0095582D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9E3B67">
        <w:rPr>
          <w:rFonts w:ascii="Times New Roman" w:eastAsia="Times New Roman" w:hAnsi="Times New Roman" w:cs="Times New Roman"/>
          <w:b/>
          <w:color w:val="auto"/>
        </w:rPr>
        <w:pict>
          <v:shape id="_x0000_s1027" type="#_x0000_t136" style="position:absolute;left:0;text-align:left;margin-left:27pt;margin-top:.7pt;width:414pt;height:17.25pt;z-index:251660288" fillcolor="blue" stroked="f">
            <v:shadow type="perspective" opacity=".5" origin=",.5" offset="0,0" matrix=",,,-1"/>
            <v:textpath style="font-family:&quot;SimSun&quot;;font-size:14pt;font-weight:bold;v-text-kern:t" trim="t" fitpath="t" string="УК &quot;РЕМЭКС&quot;"/>
          </v:shape>
        </w:pict>
      </w:r>
    </w:p>
    <w:p w:rsidR="0095582D" w:rsidRPr="009E3B67" w:rsidRDefault="0095582D" w:rsidP="0095582D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95582D" w:rsidRPr="0095582D" w:rsidRDefault="0095582D" w:rsidP="0095582D">
      <w:pPr>
        <w:tabs>
          <w:tab w:val="right" w:pos="9355"/>
        </w:tabs>
        <w:jc w:val="center"/>
        <w:rPr>
          <w:rFonts w:ascii="Century" w:eastAsia="MS Mincho" w:hAnsi="Century" w:cs="Tahoma"/>
          <w:b/>
          <w:color w:val="auto"/>
          <w:sz w:val="20"/>
        </w:rPr>
      </w:pPr>
      <w:r w:rsidRPr="0095582D">
        <w:rPr>
          <w:rFonts w:ascii="Century" w:eastAsia="MS Mincho" w:hAnsi="Century" w:cs="Tahoma"/>
          <w:noProof/>
          <w:color w:val="auto"/>
          <w:sz w:val="20"/>
        </w:rPr>
        <w:drawing>
          <wp:inline distT="0" distB="0" distL="0" distR="0" wp14:anchorId="1C468773" wp14:editId="58C70C89">
            <wp:extent cx="5948045" cy="160020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582D">
        <w:rPr>
          <w:rFonts w:ascii="Century" w:eastAsia="MS Mincho" w:hAnsi="Century" w:cs="Tahoma"/>
          <w:b/>
          <w:color w:val="auto"/>
          <w:sz w:val="20"/>
        </w:rPr>
        <w:t xml:space="preserve">301760,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г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.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Донской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,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Тульской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обл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., </w:t>
      </w:r>
      <w:proofErr w:type="spellStart"/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мкр</w:t>
      </w:r>
      <w:proofErr w:type="spellEnd"/>
      <w:r w:rsidRPr="0095582D">
        <w:rPr>
          <w:rFonts w:ascii="Century" w:eastAsia="MS Mincho" w:hAnsi="Century" w:cs="Tahoma"/>
          <w:b/>
          <w:color w:val="auto"/>
          <w:sz w:val="20"/>
        </w:rPr>
        <w:t>-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он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Центральный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,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ул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.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Ленина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, </w:t>
      </w:r>
      <w:r w:rsidRPr="0095582D">
        <w:rPr>
          <w:rFonts w:ascii="Times New Roman" w:eastAsia="MS Mincho" w:hAnsi="Times New Roman" w:cs="Times New Roman"/>
          <w:b/>
          <w:color w:val="auto"/>
          <w:sz w:val="20"/>
        </w:rPr>
        <w:t>д</w:t>
      </w:r>
      <w:r w:rsidRPr="0095582D">
        <w:rPr>
          <w:rFonts w:ascii="Century" w:eastAsia="MS Mincho" w:hAnsi="Century" w:cs="Tahoma"/>
          <w:b/>
          <w:color w:val="auto"/>
          <w:sz w:val="20"/>
        </w:rPr>
        <w:t>. 3,</w:t>
      </w:r>
      <w:proofErr w:type="gramEnd"/>
    </w:p>
    <w:p w:rsidR="0095582D" w:rsidRPr="0095582D" w:rsidRDefault="0095582D" w:rsidP="0095582D">
      <w:pPr>
        <w:tabs>
          <w:tab w:val="right" w:pos="9355"/>
        </w:tabs>
        <w:jc w:val="center"/>
        <w:rPr>
          <w:rFonts w:ascii="Century" w:eastAsia="MS Mincho" w:hAnsi="Century" w:cs="Tahoma"/>
          <w:b/>
          <w:color w:val="auto"/>
          <w:sz w:val="20"/>
        </w:rPr>
      </w:pPr>
      <w:r w:rsidRPr="0095582D">
        <w:rPr>
          <w:rFonts w:ascii="Times New Roman" w:eastAsia="MS Mincho" w:hAnsi="Times New Roman" w:cs="Times New Roman"/>
          <w:color w:val="auto"/>
          <w:sz w:val="20"/>
        </w:rPr>
        <w:t>тел</w:t>
      </w:r>
      <w:r w:rsidRPr="0095582D">
        <w:rPr>
          <w:rFonts w:ascii="Century" w:eastAsia="MS Mincho" w:hAnsi="Century" w:cs="Tahoma"/>
          <w:b/>
          <w:color w:val="auto"/>
          <w:sz w:val="20"/>
        </w:rPr>
        <w:t>./</w:t>
      </w:r>
      <w:r w:rsidRPr="0095582D">
        <w:rPr>
          <w:rFonts w:ascii="Times New Roman" w:eastAsia="MS Mincho" w:hAnsi="Times New Roman" w:cs="Times New Roman"/>
          <w:color w:val="auto"/>
          <w:sz w:val="20"/>
        </w:rPr>
        <w:t>факс</w:t>
      </w:r>
      <w:r w:rsidRPr="0095582D">
        <w:rPr>
          <w:rFonts w:ascii="Century" w:eastAsia="MS Mincho" w:hAnsi="Century" w:cs="Tahoma"/>
          <w:b/>
          <w:color w:val="auto"/>
          <w:sz w:val="20"/>
        </w:rPr>
        <w:t xml:space="preserve"> 8 (48 746) 5-08-02</w:t>
      </w:r>
    </w:p>
    <w:p w:rsidR="0095582D" w:rsidRPr="0095582D" w:rsidRDefault="0095582D" w:rsidP="0095582D">
      <w:pPr>
        <w:tabs>
          <w:tab w:val="right" w:pos="9355"/>
        </w:tabs>
        <w:rPr>
          <w:rFonts w:ascii="Courier New" w:eastAsia="Times New Roman" w:hAnsi="Courier New" w:cs="Courier New"/>
          <w:color w:val="auto"/>
        </w:rPr>
      </w:pPr>
    </w:p>
    <w:p w:rsidR="0095582D" w:rsidRDefault="0095582D" w:rsidP="009558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582D" w:rsidRDefault="0095582D" w:rsidP="0095582D">
      <w:pPr>
        <w:widowControl w:val="0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>ПРИКАЗ</w:t>
      </w:r>
    </w:p>
    <w:p w:rsidR="0095582D" w:rsidRDefault="0095582D" w:rsidP="0095582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</w:t>
      </w:r>
      <w:r w:rsidR="00450A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.2014 г.</w:t>
      </w:r>
      <w:r w:rsidR="00827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№1</w:t>
      </w:r>
    </w:p>
    <w:p w:rsidR="0095582D" w:rsidRDefault="0095582D" w:rsidP="009558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DB0" w:rsidRDefault="00827DB0" w:rsidP="009558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выявлении и урегулировании конфликта интересов в ООО УК «РЕМЭКС»</w:t>
      </w:r>
    </w:p>
    <w:p w:rsidR="0095582D" w:rsidRDefault="0095582D" w:rsidP="0095582D">
      <w:pPr>
        <w:rPr>
          <w:rFonts w:ascii="Times New Roman" w:hAnsi="Times New Roman"/>
          <w:sz w:val="28"/>
          <w:szCs w:val="28"/>
        </w:rPr>
      </w:pPr>
    </w:p>
    <w:p w:rsidR="00827DB0" w:rsidRDefault="00827DB0" w:rsidP="0095582D">
      <w:pPr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</w:t>
      </w:r>
      <w:r w:rsidR="008421F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421F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</w:t>
      </w:r>
      <w:r>
        <w:rPr>
          <w:rFonts w:ascii="Times New Roman" w:hAnsi="Times New Roman" w:cs="Times New Roman"/>
          <w:sz w:val="28"/>
          <w:szCs w:val="28"/>
        </w:rPr>
        <w:t>утверждённых Министерством труда и социальной защиты 08.11.2013 года,</w:t>
      </w:r>
      <w:proofErr w:type="gramEnd"/>
    </w:p>
    <w:p w:rsidR="0095582D" w:rsidRDefault="0095582D" w:rsidP="0095582D">
      <w:pPr>
        <w:jc w:val="both"/>
        <w:rPr>
          <w:rFonts w:ascii="Times New Roman" w:hAnsi="Times New Roman"/>
          <w:b/>
          <w:sz w:val="28"/>
          <w:szCs w:val="28"/>
        </w:rPr>
      </w:pPr>
    </w:p>
    <w:p w:rsidR="0095582D" w:rsidRDefault="0095582D" w:rsidP="00827D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выявлении и урегулировании конфликта интересов в </w:t>
      </w:r>
      <w:r>
        <w:rPr>
          <w:rFonts w:ascii="Times New Roman" w:hAnsi="Times New Roman"/>
          <w:sz w:val="28"/>
          <w:szCs w:val="28"/>
        </w:rPr>
        <w:t>ООО УК «РЕМЭКС».</w:t>
      </w: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Настоящий приказ разместить на официальном сайте.</w:t>
      </w: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вступает в силу со дня подписания.</w:t>
      </w: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</w:p>
    <w:p w:rsidR="00827DB0" w:rsidRDefault="00827DB0" w:rsidP="0095582D">
      <w:pPr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95582D" w:rsidRDefault="0095582D" w:rsidP="0095582D">
      <w:r>
        <w:rPr>
          <w:rFonts w:ascii="Times New Roman" w:hAnsi="Times New Roman"/>
          <w:snapToGrid w:val="0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ООО УК  «РЕМЭКС»    _______________________ Ю.И. </w:t>
      </w:r>
      <w:proofErr w:type="spellStart"/>
      <w:r>
        <w:rPr>
          <w:rFonts w:ascii="Times New Roman" w:hAnsi="Times New Roman"/>
          <w:sz w:val="28"/>
          <w:szCs w:val="28"/>
        </w:rPr>
        <w:t>Мишков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5582D" w:rsidRDefault="0095582D" w:rsidP="0095582D">
      <w:pPr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jc w:val="right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jc w:val="right"/>
        <w:rPr>
          <w:rFonts w:ascii="Times New Roman" w:hAnsi="Times New Roman"/>
          <w:sz w:val="28"/>
          <w:szCs w:val="28"/>
        </w:rPr>
      </w:pPr>
    </w:p>
    <w:p w:rsidR="006A4640" w:rsidRDefault="006A4640" w:rsidP="0095582D">
      <w:pPr>
        <w:jc w:val="right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jc w:val="right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jc w:val="right"/>
        <w:rPr>
          <w:rFonts w:ascii="Times New Roman" w:hAnsi="Times New Roman"/>
          <w:sz w:val="28"/>
          <w:szCs w:val="28"/>
        </w:rPr>
      </w:pPr>
    </w:p>
    <w:p w:rsidR="006A4640" w:rsidRDefault="006A4640" w:rsidP="00827DB0">
      <w:pPr>
        <w:jc w:val="right"/>
        <w:rPr>
          <w:rFonts w:ascii="Times New Roman" w:hAnsi="Times New Roman"/>
          <w:sz w:val="18"/>
          <w:szCs w:val="18"/>
        </w:rPr>
      </w:pPr>
    </w:p>
    <w:p w:rsidR="006A4640" w:rsidRDefault="006A4640" w:rsidP="00827DB0">
      <w:pPr>
        <w:jc w:val="right"/>
        <w:rPr>
          <w:rFonts w:ascii="Times New Roman" w:hAnsi="Times New Roman"/>
          <w:sz w:val="18"/>
          <w:szCs w:val="18"/>
        </w:rPr>
      </w:pPr>
    </w:p>
    <w:p w:rsidR="006A4640" w:rsidRDefault="006A4640" w:rsidP="00827DB0">
      <w:pPr>
        <w:jc w:val="right"/>
        <w:rPr>
          <w:rFonts w:ascii="Times New Roman" w:hAnsi="Times New Roman"/>
          <w:sz w:val="18"/>
          <w:szCs w:val="18"/>
        </w:rPr>
      </w:pPr>
    </w:p>
    <w:p w:rsidR="006A4640" w:rsidRDefault="006A4640" w:rsidP="00827DB0">
      <w:pPr>
        <w:jc w:val="right"/>
        <w:rPr>
          <w:rFonts w:ascii="Times New Roman" w:hAnsi="Times New Roman"/>
          <w:sz w:val="18"/>
          <w:szCs w:val="18"/>
        </w:rPr>
      </w:pPr>
    </w:p>
    <w:p w:rsidR="006A4640" w:rsidRDefault="006A4640" w:rsidP="006A464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6A4640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 xml:space="preserve">ие  </w:t>
      </w:r>
      <w:r w:rsidRPr="006A4640">
        <w:rPr>
          <w:rFonts w:ascii="Times New Roman" w:hAnsi="Times New Roman"/>
          <w:sz w:val="18"/>
          <w:szCs w:val="18"/>
        </w:rPr>
        <w:t>к приказ</w:t>
      </w:r>
      <w:proofErr w:type="gramStart"/>
      <w:r w:rsidRPr="006A4640">
        <w:rPr>
          <w:rFonts w:ascii="Times New Roman" w:hAnsi="Times New Roman"/>
          <w:sz w:val="18"/>
          <w:szCs w:val="18"/>
        </w:rPr>
        <w:t>у ООО</w:t>
      </w:r>
      <w:proofErr w:type="gramEnd"/>
      <w:r w:rsidRPr="006A46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827DB0" w:rsidRPr="006A4640" w:rsidRDefault="006A4640" w:rsidP="006A4640">
      <w:pPr>
        <w:ind w:right="-14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УК «РЕМЭКС»</w:t>
      </w:r>
      <w:r w:rsidR="0095582D" w:rsidRPr="006A4640">
        <w:rPr>
          <w:rFonts w:ascii="Times New Roman" w:hAnsi="Times New Roman"/>
          <w:sz w:val="18"/>
          <w:szCs w:val="18"/>
        </w:rPr>
        <w:t xml:space="preserve"> </w:t>
      </w:r>
      <w:r w:rsidRPr="006A4640">
        <w:rPr>
          <w:rFonts w:ascii="Times New Roman" w:hAnsi="Times New Roman"/>
          <w:sz w:val="18"/>
          <w:szCs w:val="18"/>
        </w:rPr>
        <w:t>от 01.08.2014  № 1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A4640" w:rsidRDefault="006A4640" w:rsidP="006A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A4640" w:rsidRDefault="006A4640" w:rsidP="006A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У</w:t>
      </w:r>
      <w:proofErr w:type="gramStart"/>
      <w:r>
        <w:rPr>
          <w:rFonts w:ascii="Times New Roman" w:hAnsi="Times New Roman"/>
          <w:sz w:val="24"/>
          <w:szCs w:val="24"/>
        </w:rPr>
        <w:t>К»</w:t>
      </w:r>
      <w:proofErr w:type="gramEnd"/>
      <w:r>
        <w:rPr>
          <w:rFonts w:ascii="Times New Roman" w:hAnsi="Times New Roman"/>
          <w:sz w:val="24"/>
          <w:szCs w:val="24"/>
        </w:rPr>
        <w:t>РЕМЭКС»</w:t>
      </w:r>
    </w:p>
    <w:p w:rsidR="006A4640" w:rsidRDefault="006A4640" w:rsidP="006A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Ю.И. </w:t>
      </w:r>
      <w:proofErr w:type="spellStart"/>
      <w:r>
        <w:rPr>
          <w:rFonts w:ascii="Times New Roman" w:hAnsi="Times New Roman"/>
          <w:sz w:val="24"/>
          <w:szCs w:val="24"/>
        </w:rPr>
        <w:t>Мишков</w:t>
      </w:r>
      <w:proofErr w:type="spellEnd"/>
    </w:p>
    <w:p w:rsidR="006A4640" w:rsidRPr="006A4640" w:rsidRDefault="006A4640" w:rsidP="006A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01.08.2014г.</w:t>
      </w:r>
    </w:p>
    <w:p w:rsidR="006A4640" w:rsidRDefault="006A4640" w:rsidP="009558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A4640" w:rsidRDefault="006A4640" w:rsidP="009558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и урегулировании конфликта интересов в ООО УК «РЕМЭКС»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положения о конфликте интересов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о конфликте интересов в ООО УК «РЕМЭКС» (далее – Предприятие)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Предприятия)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Предприятия, работником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(представителем Предприятия) которой он является.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Предприятия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Предприятии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работы по управлению конфликтом интересов в Предприятии положены следующие принципы: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рисков для Предприятия при выявлении каждого конфликта интересов и его урегулирование;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соблюдение баланса интересов Предприятия и работника при урегулировании конфликта интересов;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Предприятия и порядок его урегулирования, в том числе возможные способы разрешения возникшего конфликта интересов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Процедура раскрытия конфликта интересов доводится до сведения всех работников Предприятия. Устанавливаются следующие вида раскрытия конфликта интересов, в том числе: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Должностным лицом, ответственным за прием сведений о возникающих (имеющихся) конфликтах интересов является директор Предприятия.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отказ работника от своего личного интереса, порождающего конфликт с интересами организации;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- увольнение работника из организации по инициативе работника.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82D" w:rsidRDefault="0095582D" w:rsidP="009558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27AB5" w:rsidRDefault="00527AB5"/>
    <w:sectPr w:rsidR="00527AB5" w:rsidSect="006A4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D6"/>
    <w:rsid w:val="00450A4B"/>
    <w:rsid w:val="00527AB5"/>
    <w:rsid w:val="00580BB6"/>
    <w:rsid w:val="006A4640"/>
    <w:rsid w:val="00827DB0"/>
    <w:rsid w:val="008421F9"/>
    <w:rsid w:val="0095582D"/>
    <w:rsid w:val="009E3B67"/>
    <w:rsid w:val="00B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5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5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cp:lastPrinted>2014-08-21T09:29:00Z</cp:lastPrinted>
  <dcterms:created xsi:type="dcterms:W3CDTF">2014-08-20T07:10:00Z</dcterms:created>
  <dcterms:modified xsi:type="dcterms:W3CDTF">2014-08-21T09:36:00Z</dcterms:modified>
</cp:coreProperties>
</file>